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73D2C" w:rsidRPr="007C750F" w:rsidRDefault="00497BC4">
      <w:pPr>
        <w:spacing w:after="0"/>
        <w:jc w:val="center"/>
        <w:rPr>
          <w:rFonts w:asciiTheme="minorHAnsi" w:eastAsia="Verdana" w:hAnsiTheme="minorHAnsi" w:cstheme="minorHAnsi"/>
          <w:b/>
        </w:rPr>
      </w:pPr>
      <w:r w:rsidRPr="007C750F">
        <w:rPr>
          <w:rFonts w:asciiTheme="minorHAnsi" w:eastAsia="Verdana" w:hAnsiTheme="minorHAnsi" w:cstheme="minorHAnsi"/>
          <w:b/>
        </w:rPr>
        <w:t>ANEXO 3</w:t>
      </w:r>
      <w:r w:rsidRPr="007C750F">
        <w:rPr>
          <w:rFonts w:asciiTheme="minorHAnsi" w:eastAsia="Verdana" w:hAnsiTheme="minorHAnsi" w:cstheme="minorHAnsi"/>
          <w:b/>
          <w:vertAlign w:val="superscript"/>
        </w:rPr>
        <w:footnoteReference w:id="1"/>
      </w:r>
      <w:r w:rsidRPr="007C750F">
        <w:rPr>
          <w:rFonts w:asciiTheme="minorHAnsi" w:eastAsia="Verdana" w:hAnsiTheme="minorHAnsi" w:cstheme="minorHAnsi"/>
          <w:b/>
        </w:rPr>
        <w:t xml:space="preserve"> </w:t>
      </w:r>
    </w:p>
    <w:p w14:paraId="00000003" w14:textId="57634C26" w:rsidR="00873D2C" w:rsidRPr="007C750F" w:rsidRDefault="00497BC4" w:rsidP="007E6021">
      <w:pPr>
        <w:jc w:val="center"/>
        <w:rPr>
          <w:rFonts w:asciiTheme="minorHAnsi" w:eastAsia="Verdana" w:hAnsiTheme="minorHAnsi" w:cstheme="minorHAnsi"/>
        </w:rPr>
      </w:pPr>
      <w:r w:rsidRPr="007C750F">
        <w:rPr>
          <w:rFonts w:asciiTheme="minorHAnsi" w:eastAsia="Verdana" w:hAnsiTheme="minorHAnsi" w:cstheme="minorHAnsi"/>
          <w:b/>
        </w:rPr>
        <w:t>DECLARACIÓN JURADA SIMPLE</w:t>
      </w:r>
      <w:r w:rsidRPr="007C750F">
        <w:rPr>
          <w:rFonts w:asciiTheme="minorHAnsi" w:eastAsia="Verdana" w:hAnsiTheme="minorHAnsi" w:cstheme="minorHAnsi"/>
        </w:rPr>
        <w:t xml:space="preserve"> </w:t>
      </w:r>
    </w:p>
    <w:p w14:paraId="00000005" w14:textId="176D3CDA" w:rsidR="00873D2C" w:rsidRPr="007C750F" w:rsidRDefault="00497BC4" w:rsidP="007C750F">
      <w:pPr>
        <w:spacing w:line="360" w:lineRule="auto"/>
        <w:jc w:val="both"/>
        <w:rPr>
          <w:rFonts w:asciiTheme="minorHAnsi" w:eastAsia="Verdana" w:hAnsiTheme="minorHAnsi" w:cstheme="minorHAnsi"/>
          <w:sz w:val="20"/>
          <w:szCs w:val="20"/>
        </w:rPr>
      </w:pPr>
      <w:r w:rsidRPr="007C750F">
        <w:rPr>
          <w:rFonts w:asciiTheme="minorHAnsi" w:eastAsia="Verdana" w:hAnsiTheme="minorHAnsi" w:cstheme="minorHAnsi"/>
          <w:sz w:val="20"/>
          <w:szCs w:val="20"/>
        </w:rPr>
        <w:t>Yo</w:t>
      </w:r>
      <w:proofErr w:type="gramStart"/>
      <w:r w:rsidRPr="007C750F">
        <w:rPr>
          <w:rFonts w:asciiTheme="minorHAnsi" w:eastAsia="Verdana" w:hAnsiTheme="minorHAnsi" w:cstheme="minorHAnsi"/>
          <w:sz w:val="20"/>
          <w:szCs w:val="20"/>
        </w:rPr>
        <w:t>,_</w:t>
      </w:r>
      <w:proofErr w:type="gramEnd"/>
      <w:r w:rsidRPr="007C750F">
        <w:rPr>
          <w:rFonts w:asciiTheme="minorHAnsi" w:eastAsia="Verdana" w:hAnsiTheme="minorHAnsi" w:cstheme="minorHAnsi"/>
          <w:sz w:val="20"/>
          <w:szCs w:val="20"/>
        </w:rPr>
        <w:t>_________________________________________________</w:t>
      </w:r>
      <w:r w:rsidR="00B97293">
        <w:rPr>
          <w:rFonts w:asciiTheme="minorHAnsi" w:eastAsia="Verdana" w:hAnsiTheme="minorHAnsi" w:cstheme="minorHAnsi"/>
          <w:sz w:val="20"/>
          <w:szCs w:val="20"/>
        </w:rPr>
        <w:t>___________</w:t>
      </w:r>
      <w:r w:rsidRPr="007C750F">
        <w:rPr>
          <w:rFonts w:asciiTheme="minorHAnsi" w:eastAsia="Verdana" w:hAnsiTheme="minorHAnsi" w:cstheme="minorHAnsi"/>
          <w:sz w:val="20"/>
          <w:szCs w:val="20"/>
        </w:rPr>
        <w:t>, Cédula de Identidad N° ____________________________, declaro bajo juramento:</w:t>
      </w:r>
    </w:p>
    <w:p w14:paraId="00000006" w14:textId="4BFEF811" w:rsidR="00873D2C" w:rsidRPr="007C750F" w:rsidRDefault="00497BC4">
      <w:pPr>
        <w:numPr>
          <w:ilvl w:val="0"/>
          <w:numId w:val="1"/>
        </w:numPr>
        <w:pBdr>
          <w:top w:val="nil"/>
          <w:left w:val="nil"/>
          <w:bottom w:val="nil"/>
          <w:right w:val="nil"/>
          <w:between w:val="nil"/>
        </w:pBdr>
        <w:spacing w:after="0" w:line="240" w:lineRule="auto"/>
        <w:ind w:left="284" w:hanging="284"/>
        <w:jc w:val="both"/>
        <w:rPr>
          <w:rFonts w:asciiTheme="minorHAnsi" w:eastAsia="Verdana" w:hAnsiTheme="minorHAnsi" w:cstheme="minorHAnsi"/>
          <w:sz w:val="20"/>
          <w:szCs w:val="20"/>
        </w:rPr>
      </w:pPr>
      <w:r w:rsidRPr="007C750F">
        <w:rPr>
          <w:rFonts w:asciiTheme="minorHAnsi" w:eastAsia="Verdana" w:hAnsiTheme="minorHAnsi" w:cstheme="minorHAnsi"/>
          <w:color w:val="000000"/>
          <w:sz w:val="20"/>
          <w:szCs w:val="20"/>
        </w:rPr>
        <w:t>No estar inhabilitado para el ejercicio de funciones o cargos públicos</w:t>
      </w:r>
      <w:r w:rsidR="00B97293">
        <w:rPr>
          <w:rStyle w:val="Refdenotaalpie"/>
          <w:rFonts w:asciiTheme="minorHAnsi" w:eastAsia="Verdana" w:hAnsiTheme="minorHAnsi" w:cstheme="minorHAnsi"/>
          <w:color w:val="000000"/>
          <w:sz w:val="20"/>
          <w:szCs w:val="20"/>
        </w:rPr>
        <w:footnoteReference w:id="2"/>
      </w:r>
      <w:r w:rsidRPr="007C750F">
        <w:rPr>
          <w:rFonts w:asciiTheme="minorHAnsi" w:eastAsia="Verdana" w:hAnsiTheme="minorHAnsi" w:cstheme="minorHAnsi"/>
          <w:color w:val="000000"/>
          <w:sz w:val="20"/>
          <w:szCs w:val="20"/>
        </w:rPr>
        <w:t>, ni hallarme condenado por crimen o simple delito ni condenado en virtud de la Ley Nº 19.325 sobre violencia intrafamiliar.</w:t>
      </w:r>
      <w:r w:rsidRPr="007C750F">
        <w:rPr>
          <w:rFonts w:asciiTheme="minorHAnsi" w:eastAsia="Verdana" w:hAnsiTheme="minorHAnsi" w:cstheme="minorHAnsi"/>
          <w:sz w:val="20"/>
          <w:szCs w:val="20"/>
        </w:rPr>
        <w:t xml:space="preserve"> (Art. 24 N° 5 del DFL Nº1 del Ministerio de Educación) </w:t>
      </w:r>
    </w:p>
    <w:p w14:paraId="00000007" w14:textId="77777777" w:rsidR="00873D2C" w:rsidRPr="007C750F" w:rsidRDefault="00873D2C">
      <w:pPr>
        <w:spacing w:after="0" w:line="240" w:lineRule="auto"/>
        <w:ind w:left="284" w:hanging="284"/>
        <w:jc w:val="right"/>
        <w:rPr>
          <w:rFonts w:asciiTheme="minorHAnsi" w:eastAsia="Verdana" w:hAnsiTheme="minorHAnsi" w:cstheme="minorHAnsi"/>
          <w:sz w:val="20"/>
          <w:szCs w:val="20"/>
        </w:rPr>
      </w:pPr>
    </w:p>
    <w:p w14:paraId="00000008" w14:textId="77777777" w:rsidR="00873D2C" w:rsidRPr="007C750F" w:rsidRDefault="00497BC4">
      <w:pPr>
        <w:ind w:left="284" w:hanging="284"/>
        <w:jc w:val="both"/>
        <w:rPr>
          <w:rFonts w:asciiTheme="minorHAnsi" w:eastAsia="Verdana" w:hAnsiTheme="minorHAnsi" w:cstheme="minorHAnsi"/>
          <w:sz w:val="20"/>
          <w:szCs w:val="20"/>
        </w:rPr>
      </w:pPr>
      <w:r w:rsidRPr="007C750F">
        <w:rPr>
          <w:rFonts w:asciiTheme="minorHAnsi" w:eastAsia="Verdana" w:hAnsiTheme="minorHAnsi" w:cstheme="minorHAnsi"/>
          <w:sz w:val="20"/>
          <w:szCs w:val="20"/>
        </w:rPr>
        <w:t>2. No estar inhabilitado para ejercer labores docentes de acuerdo a lo señalado en el artículo 10° del Decreto 453 que Aprueba el Reglamento de la Ley N° 19.070:</w:t>
      </w:r>
    </w:p>
    <w:p w14:paraId="00000009" w14:textId="77777777" w:rsidR="00873D2C" w:rsidRPr="007C750F" w:rsidRDefault="00497BC4">
      <w:pPr>
        <w:numPr>
          <w:ilvl w:val="0"/>
          <w:numId w:val="2"/>
        </w:numPr>
        <w:pBdr>
          <w:top w:val="nil"/>
          <w:left w:val="nil"/>
          <w:bottom w:val="nil"/>
          <w:right w:val="nil"/>
          <w:between w:val="nil"/>
        </w:pBdr>
        <w:spacing w:after="120"/>
        <w:ind w:left="714" w:hanging="357"/>
        <w:jc w:val="both"/>
        <w:rPr>
          <w:rFonts w:asciiTheme="minorHAnsi" w:eastAsia="Verdana" w:hAnsiTheme="minorHAnsi" w:cstheme="minorHAnsi"/>
          <w:sz w:val="20"/>
          <w:szCs w:val="20"/>
        </w:rPr>
      </w:pPr>
      <w:r w:rsidRPr="007C750F">
        <w:rPr>
          <w:rFonts w:asciiTheme="minorHAnsi" w:eastAsia="Verdana" w:hAnsiTheme="minorHAnsi" w:cstheme="minorHAnsi"/>
          <w:color w:val="000000"/>
          <w:sz w:val="20"/>
          <w:szCs w:val="20"/>
        </w:rPr>
        <w:t>Las contempladas en el artículo 9° de la Constitución Política de la República de Chile, que impide a los responsables de conductas terroristas por un plazo de quince (15) años ejercer funciones o cargos públicos sean o no de elección popular, o de Rector o Director de establecimiento de educación o para ejercer en ellos funciones de enseñanza.</w:t>
      </w:r>
    </w:p>
    <w:p w14:paraId="7B95CC2A" w14:textId="54C43203" w:rsidR="00B97293" w:rsidRPr="007C750F" w:rsidRDefault="00497BC4">
      <w:pPr>
        <w:numPr>
          <w:ilvl w:val="0"/>
          <w:numId w:val="2"/>
        </w:numPr>
        <w:pBdr>
          <w:top w:val="nil"/>
          <w:left w:val="nil"/>
          <w:bottom w:val="nil"/>
          <w:right w:val="nil"/>
          <w:between w:val="nil"/>
        </w:pBdr>
        <w:spacing w:after="120"/>
        <w:ind w:left="714" w:hanging="357"/>
        <w:jc w:val="both"/>
        <w:rPr>
          <w:rFonts w:asciiTheme="minorHAnsi" w:eastAsia="Verdana" w:hAnsiTheme="minorHAnsi" w:cstheme="minorHAnsi"/>
          <w:sz w:val="20"/>
          <w:szCs w:val="20"/>
        </w:rPr>
      </w:pPr>
      <w:r w:rsidRPr="007C750F">
        <w:rPr>
          <w:rFonts w:asciiTheme="minorHAnsi" w:eastAsia="Verdana" w:hAnsiTheme="minorHAnsi" w:cstheme="minorHAnsi"/>
          <w:color w:val="000000"/>
          <w:sz w:val="20"/>
          <w:szCs w:val="20"/>
        </w:rPr>
        <w:t>Las generales contempladas en el Código Penal de inhabilitación absoluta o especial perpetua para cargos y oficios públicos, derechos políticos y profesiones titulares y la de inhabilitación absoluta o especial temporal para cargos y oficios públicos y profesiones titulares, en los casos y respecto de las personas a las que se apliquen estas penas ya sea como principales o accesorias, según lo dispuesto en dicho cuerpo legal.</w:t>
      </w:r>
    </w:p>
    <w:p w14:paraId="164BF0B2" w14:textId="05BF8D7C" w:rsidR="007E6021" w:rsidRPr="007C750F" w:rsidRDefault="00497BC4" w:rsidP="007C750F">
      <w:pPr>
        <w:numPr>
          <w:ilvl w:val="0"/>
          <w:numId w:val="2"/>
        </w:numPr>
        <w:pBdr>
          <w:top w:val="nil"/>
          <w:left w:val="nil"/>
          <w:bottom w:val="nil"/>
          <w:right w:val="nil"/>
          <w:between w:val="nil"/>
        </w:pBdr>
        <w:spacing w:after="120"/>
        <w:ind w:left="714" w:hanging="357"/>
        <w:jc w:val="both"/>
        <w:rPr>
          <w:rFonts w:asciiTheme="minorHAnsi" w:eastAsia="Verdana" w:hAnsiTheme="minorHAnsi" w:cstheme="minorHAnsi"/>
          <w:sz w:val="20"/>
          <w:szCs w:val="20"/>
        </w:rPr>
      </w:pPr>
      <w:r w:rsidRPr="007C750F">
        <w:rPr>
          <w:rFonts w:asciiTheme="minorHAnsi" w:eastAsia="Verdana" w:hAnsiTheme="minorHAnsi" w:cstheme="minorHAnsi"/>
          <w:color w:val="000000"/>
          <w:sz w:val="20"/>
          <w:szCs w:val="20"/>
        </w:rPr>
        <w:t>Las especiales contempladas en el artículo 4° del decreto con fuerza de ley Nº 1, de 1996, del Ministerio de Educación de inhabilidad para ejercer labores docentes cuando hayan sido condenado por los delitos de aborto, rapto, violación, estupro, incesto, corrupción de menores y otros actos deshonestos, ultrajes públicos a las buenas costumbres, homicidio o infanticidio.</w:t>
      </w:r>
    </w:p>
    <w:p w14:paraId="5D3B6AAF" w14:textId="77777777" w:rsidR="004972F2" w:rsidRDefault="007E6021">
      <w:pPr>
        <w:rPr>
          <w:rFonts w:asciiTheme="minorHAnsi" w:eastAsia="Verdana" w:hAnsiTheme="minorHAnsi" w:cstheme="minorHAnsi"/>
          <w:i/>
          <w:sz w:val="20"/>
          <w:szCs w:val="20"/>
        </w:rPr>
      </w:pPr>
      <w:r w:rsidRPr="007C750F">
        <w:rPr>
          <w:rFonts w:asciiTheme="minorHAnsi" w:eastAsia="Verdana" w:hAnsiTheme="minorHAnsi" w:cstheme="minorHAnsi"/>
          <w:sz w:val="20"/>
          <w:szCs w:val="20"/>
        </w:rPr>
        <w:t xml:space="preserve">Finalmente, Usted declara bajo juramento, conocer las sanciones penales establecidas en el artículo 210 del Código Penal, en el evento que se suscriba una Declaración Jurada con información falsa. Dicha norma legal, establece, lo siguiente: </w:t>
      </w:r>
      <w:r w:rsidRPr="007C750F">
        <w:rPr>
          <w:rFonts w:asciiTheme="minorHAnsi" w:eastAsia="Verdana" w:hAnsiTheme="minorHAnsi" w:cstheme="minorHAnsi"/>
          <w:i/>
          <w:sz w:val="20"/>
          <w:szCs w:val="20"/>
        </w:rPr>
        <w:t>"El que ante la autoridad o sus agentes perjurare o diere falso testimonio en materia que no sea contenciosa, sufrirá las penas de presidio menor en sus grados mínimo a medio y multa de seis a diez unidades tributarias mensuales."</w:t>
      </w:r>
    </w:p>
    <w:p w14:paraId="0C306622" w14:textId="77777777" w:rsidR="004972F2" w:rsidRDefault="004972F2">
      <w:pPr>
        <w:rPr>
          <w:rFonts w:asciiTheme="minorHAnsi" w:eastAsia="Verdana" w:hAnsiTheme="minorHAnsi" w:cstheme="minorHAnsi"/>
          <w:i/>
          <w:sz w:val="20"/>
          <w:szCs w:val="20"/>
        </w:rPr>
      </w:pPr>
    </w:p>
    <w:p w14:paraId="0000000F" w14:textId="37CAE00C" w:rsidR="00873D2C" w:rsidRPr="007C750F" w:rsidRDefault="00497BC4">
      <w:pPr>
        <w:rPr>
          <w:rFonts w:asciiTheme="minorHAnsi" w:eastAsia="Verdana" w:hAnsiTheme="minorHAnsi" w:cstheme="minorHAnsi"/>
          <w:i/>
          <w:sz w:val="20"/>
          <w:szCs w:val="20"/>
        </w:rPr>
      </w:pPr>
      <w:r w:rsidRPr="007C750F">
        <w:rPr>
          <w:rFonts w:asciiTheme="minorHAnsi" w:eastAsia="Verdana" w:hAnsiTheme="minorHAnsi" w:cstheme="minorHAnsi"/>
          <w:sz w:val="20"/>
          <w:szCs w:val="20"/>
        </w:rPr>
        <w:t>Firma  ____________________________________</w:t>
      </w:r>
      <w:r w:rsidR="004972F2">
        <w:rPr>
          <w:rFonts w:asciiTheme="minorHAnsi" w:eastAsia="Verdana" w:hAnsiTheme="minorHAnsi" w:cstheme="minorHAnsi"/>
          <w:sz w:val="20"/>
          <w:szCs w:val="20"/>
        </w:rPr>
        <w:t xml:space="preserve">        </w:t>
      </w:r>
      <w:r w:rsidRPr="007C750F">
        <w:rPr>
          <w:rFonts w:asciiTheme="minorHAnsi" w:eastAsia="Verdana" w:hAnsiTheme="minorHAnsi" w:cstheme="minorHAnsi"/>
          <w:sz w:val="20"/>
          <w:szCs w:val="20"/>
        </w:rPr>
        <w:t>Fecha</w:t>
      </w:r>
      <w:r w:rsidRPr="007C750F">
        <w:rPr>
          <w:rFonts w:asciiTheme="minorHAnsi" w:eastAsia="Verdana" w:hAnsiTheme="minorHAnsi" w:cstheme="minorHAnsi"/>
          <w:sz w:val="20"/>
          <w:szCs w:val="20"/>
        </w:rPr>
        <w:tab/>
        <w:t>______________________</w:t>
      </w:r>
      <w:r w:rsidR="004972F2">
        <w:rPr>
          <w:rFonts w:asciiTheme="minorHAnsi" w:eastAsia="Verdana" w:hAnsiTheme="minorHAnsi" w:cstheme="minorHAnsi"/>
          <w:sz w:val="20"/>
          <w:szCs w:val="20"/>
        </w:rPr>
        <w:t>________</w:t>
      </w:r>
      <w:r w:rsidRPr="007C750F">
        <w:rPr>
          <w:rFonts w:asciiTheme="minorHAnsi" w:eastAsia="Verdana" w:hAnsiTheme="minorHAnsi" w:cstheme="minorHAnsi"/>
          <w:sz w:val="20"/>
          <w:szCs w:val="20"/>
        </w:rPr>
        <w:tab/>
      </w:r>
      <w:r w:rsidRPr="007C750F">
        <w:rPr>
          <w:rFonts w:asciiTheme="minorHAnsi" w:eastAsia="Verdana" w:hAnsiTheme="minorHAnsi" w:cstheme="minorHAnsi"/>
          <w:sz w:val="20"/>
          <w:szCs w:val="20"/>
        </w:rPr>
        <w:tab/>
        <w:t xml:space="preserve"> </w:t>
      </w:r>
    </w:p>
    <w:p w14:paraId="00000014" w14:textId="7532F3FA" w:rsidR="00873D2C" w:rsidRPr="007C750F" w:rsidRDefault="00497BC4" w:rsidP="007C750F">
      <w:pPr>
        <w:spacing w:after="0"/>
        <w:rPr>
          <w:rFonts w:asciiTheme="minorHAnsi" w:eastAsia="Verdana" w:hAnsiTheme="minorHAnsi" w:cstheme="minorHAnsi"/>
          <w:b/>
          <w:sz w:val="20"/>
          <w:szCs w:val="20"/>
        </w:rPr>
      </w:pPr>
      <w:r w:rsidRPr="007C750F">
        <w:rPr>
          <w:rFonts w:asciiTheme="minorHAnsi" w:eastAsia="Verdana" w:hAnsiTheme="minorHAnsi" w:cstheme="minorHAnsi"/>
          <w:sz w:val="20"/>
          <w:szCs w:val="20"/>
        </w:rPr>
        <w:t xml:space="preserve"> </w:t>
      </w:r>
      <w:r w:rsidRPr="007C750F">
        <w:rPr>
          <w:rFonts w:asciiTheme="minorHAnsi" w:eastAsia="Verdana" w:hAnsiTheme="minorHAnsi" w:cstheme="minorHAnsi"/>
          <w:sz w:val="20"/>
          <w:szCs w:val="20"/>
        </w:rPr>
        <w:tab/>
      </w:r>
      <w:r w:rsidRPr="007C750F">
        <w:rPr>
          <w:rFonts w:asciiTheme="minorHAnsi" w:eastAsia="Verdana" w:hAnsiTheme="minorHAnsi" w:cstheme="minorHAnsi"/>
          <w:sz w:val="20"/>
          <w:szCs w:val="20"/>
        </w:rPr>
        <w:tab/>
      </w:r>
      <w:r w:rsidRPr="007C750F">
        <w:rPr>
          <w:rFonts w:asciiTheme="minorHAnsi" w:eastAsia="Verdana" w:hAnsiTheme="minorHAnsi" w:cstheme="minorHAnsi"/>
          <w:sz w:val="20"/>
          <w:szCs w:val="20"/>
        </w:rPr>
        <w:tab/>
        <w:t xml:space="preserve">   </w:t>
      </w:r>
    </w:p>
    <w:sectPr w:rsidR="00873D2C" w:rsidRPr="007C750F">
      <w:footerReference w:type="default" r:id="rId10"/>
      <w:pgSz w:w="12240" w:h="15840"/>
      <w:pgMar w:top="1304" w:right="1531" w:bottom="1304" w:left="153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46DFEA" w14:textId="77777777" w:rsidR="00AF72FB" w:rsidRDefault="00AF72FB">
      <w:pPr>
        <w:spacing w:after="0" w:line="240" w:lineRule="auto"/>
      </w:pPr>
      <w:r>
        <w:separator/>
      </w:r>
    </w:p>
  </w:endnote>
  <w:endnote w:type="continuationSeparator" w:id="0">
    <w:p w14:paraId="42C25BBC" w14:textId="77777777" w:rsidR="00AF72FB" w:rsidRDefault="00AF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6" w14:textId="77777777" w:rsidR="00873D2C" w:rsidRDefault="00873D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C70B96" w14:textId="77777777" w:rsidR="00AF72FB" w:rsidRDefault="00AF72FB">
      <w:pPr>
        <w:spacing w:after="0" w:line="240" w:lineRule="auto"/>
      </w:pPr>
      <w:r>
        <w:separator/>
      </w:r>
    </w:p>
  </w:footnote>
  <w:footnote w:type="continuationSeparator" w:id="0">
    <w:p w14:paraId="7054A3F6" w14:textId="77777777" w:rsidR="00AF72FB" w:rsidRDefault="00AF72FB">
      <w:pPr>
        <w:spacing w:after="0" w:line="240" w:lineRule="auto"/>
      </w:pPr>
      <w:r>
        <w:continuationSeparator/>
      </w:r>
    </w:p>
  </w:footnote>
  <w:footnote w:id="1">
    <w:p w14:paraId="00000015" w14:textId="77777777" w:rsidR="00873D2C" w:rsidRPr="004972F2" w:rsidRDefault="00497BC4">
      <w:pPr>
        <w:spacing w:after="0" w:line="240" w:lineRule="auto"/>
        <w:rPr>
          <w:sz w:val="18"/>
          <w:szCs w:val="18"/>
        </w:rPr>
      </w:pPr>
      <w:r>
        <w:rPr>
          <w:vertAlign w:val="superscript"/>
        </w:rPr>
        <w:footnoteRef/>
      </w:r>
      <w:r>
        <w:rPr>
          <w:sz w:val="20"/>
          <w:szCs w:val="20"/>
        </w:rPr>
        <w:t xml:space="preserve">  </w:t>
      </w:r>
      <w:r w:rsidRPr="004972F2">
        <w:rPr>
          <w:sz w:val="18"/>
          <w:szCs w:val="18"/>
        </w:rPr>
        <w:t xml:space="preserve">Complete este formulario </w:t>
      </w:r>
      <w:r w:rsidRPr="004972F2">
        <w:rPr>
          <w:sz w:val="18"/>
          <w:szCs w:val="18"/>
          <w:u w:val="single"/>
        </w:rPr>
        <w:t>solo</w:t>
      </w:r>
      <w:r w:rsidRPr="004972F2">
        <w:rPr>
          <w:sz w:val="18"/>
          <w:szCs w:val="18"/>
        </w:rPr>
        <w:t xml:space="preserve"> en caso de enviar su postulación vía papel.</w:t>
      </w:r>
    </w:p>
  </w:footnote>
  <w:footnote w:id="2">
    <w:p w14:paraId="5D02557C" w14:textId="711D9779" w:rsidR="00B97293" w:rsidRPr="004972F2" w:rsidRDefault="00B97293" w:rsidP="007C750F">
      <w:pPr>
        <w:pStyle w:val="Textonotapie"/>
        <w:jc w:val="both"/>
        <w:rPr>
          <w:sz w:val="18"/>
          <w:szCs w:val="18"/>
        </w:rPr>
      </w:pPr>
      <w:r w:rsidRPr="004972F2">
        <w:rPr>
          <w:rStyle w:val="Refdenotaalpie"/>
          <w:sz w:val="18"/>
          <w:szCs w:val="18"/>
        </w:rPr>
        <w:footnoteRef/>
      </w:r>
      <w:r w:rsidRPr="004972F2">
        <w:rPr>
          <w:sz w:val="18"/>
          <w:szCs w:val="18"/>
        </w:rPr>
        <w:t xml:space="preserve"> La inhabilitación del ejercicio de funciones por 5 años, por aplicación de medida disciplinaria de destitución por infringir gravemente el principio de probidad administrativa, alcanza a cualquier calidad jurídica en la que se quiera vincular al ex funcionario, incluyendo Código del Trabajo, Estatuto </w:t>
      </w:r>
      <w:r w:rsidR="0077156F" w:rsidRPr="004972F2">
        <w:rPr>
          <w:sz w:val="18"/>
          <w:szCs w:val="18"/>
        </w:rPr>
        <w:t>docente o contrato a honorarios, salvo que se encuentre eximido de cumplir el plazo de acuerdo a la situación descrita en el inciso final del artículo 121 del DFL N°29 del año 2004 Fija el texto refundido, coordinado y sistematizado de la Ley N° 18.834 sobre Estatuto Administrativo.</w:t>
      </w:r>
      <w:r w:rsidRPr="004972F2">
        <w:rPr>
          <w:sz w:val="18"/>
          <w:szCs w:val="18"/>
        </w:rPr>
        <w:t xml:space="preserve"> (</w:t>
      </w:r>
      <w:r w:rsidR="004972F2" w:rsidRPr="004972F2">
        <w:rPr>
          <w:sz w:val="18"/>
          <w:szCs w:val="18"/>
        </w:rPr>
        <w:t>A</w:t>
      </w:r>
      <w:r w:rsidRPr="004972F2">
        <w:rPr>
          <w:sz w:val="18"/>
          <w:szCs w:val="18"/>
        </w:rPr>
        <w:t>plicación dictamen de Contraloría General de la República N° E204328 del 2022</w:t>
      </w:r>
      <w:r w:rsidR="004972F2" w:rsidRPr="004972F2">
        <w:rPr>
          <w:sz w:val="18"/>
          <w:szCs w:val="18"/>
        </w:rPr>
        <w:t xml:space="preserve"> y Ley N° 21643 Modifica el Código del Trabajo y otros cuerpos legales, en materia de Prevención, Investigación y Sanción del Acoso Laboral, Sexual o de Violencia en el Trabajo)</w:t>
      </w:r>
    </w:p>
    <w:p w14:paraId="2994955A" w14:textId="77777777" w:rsidR="00B97293" w:rsidRDefault="00B97293" w:rsidP="00B97293">
      <w:pPr>
        <w:pStyle w:val="Textonotapie"/>
      </w:pPr>
    </w:p>
    <w:p w14:paraId="59B4EEAA" w14:textId="3EC6B2C9" w:rsidR="00B97293" w:rsidRDefault="00B97293" w:rsidP="007C750F">
      <w:pPr>
        <w:pStyle w:val="Textonotapie"/>
        <w:jc w:val="center"/>
      </w:pPr>
      <w:r w:rsidRPr="007C750F">
        <w:rPr>
          <w:b/>
        </w:rPr>
        <w:t>IMPORTANTE: Esta declaración debe ser ACTUALIZADA al momento de postular</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12917"/>
    <w:multiLevelType w:val="multilevel"/>
    <w:tmpl w:val="0F581B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96F5F0C"/>
    <w:multiLevelType w:val="multilevel"/>
    <w:tmpl w:val="26BE9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873D2C"/>
    <w:rsid w:val="004972F2"/>
    <w:rsid w:val="00497BC4"/>
    <w:rsid w:val="004D68B1"/>
    <w:rsid w:val="0077156F"/>
    <w:rsid w:val="007C750F"/>
    <w:rsid w:val="007E6021"/>
    <w:rsid w:val="00873D2C"/>
    <w:rsid w:val="00AF72FB"/>
    <w:rsid w:val="00B54110"/>
    <w:rsid w:val="00B97293"/>
    <w:rsid w:val="00EA32D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B4200A"/>
    <w:pPr>
      <w:ind w:left="720"/>
      <w:contextualSpacing/>
    </w:pPr>
  </w:style>
  <w:style w:type="paragraph" w:styleId="Textodeglobo">
    <w:name w:val="Balloon Text"/>
    <w:basedOn w:val="Normal"/>
    <w:link w:val="TextodegloboCar"/>
    <w:uiPriority w:val="99"/>
    <w:semiHidden/>
    <w:unhideWhenUsed/>
    <w:rsid w:val="00B42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00A"/>
    <w:rPr>
      <w:rFonts w:ascii="Tahoma" w:hAnsi="Tahoma" w:cs="Tahoma"/>
      <w:sz w:val="16"/>
      <w:szCs w:val="16"/>
    </w:rPr>
  </w:style>
  <w:style w:type="character" w:styleId="Refdecomentario">
    <w:name w:val="annotation reference"/>
    <w:basedOn w:val="Fuentedeprrafopredeter"/>
    <w:uiPriority w:val="99"/>
    <w:semiHidden/>
    <w:unhideWhenUsed/>
    <w:rsid w:val="00267FF7"/>
    <w:rPr>
      <w:sz w:val="16"/>
      <w:szCs w:val="16"/>
    </w:rPr>
  </w:style>
  <w:style w:type="paragraph" w:styleId="Textocomentario">
    <w:name w:val="annotation text"/>
    <w:basedOn w:val="Normal"/>
    <w:link w:val="TextocomentarioCar"/>
    <w:uiPriority w:val="99"/>
    <w:semiHidden/>
    <w:unhideWhenUsed/>
    <w:rsid w:val="00267F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7FF7"/>
    <w:rPr>
      <w:sz w:val="20"/>
      <w:szCs w:val="20"/>
    </w:rPr>
  </w:style>
  <w:style w:type="paragraph" w:styleId="Asuntodelcomentario">
    <w:name w:val="annotation subject"/>
    <w:basedOn w:val="Textocomentario"/>
    <w:next w:val="Textocomentario"/>
    <w:link w:val="AsuntodelcomentarioCar"/>
    <w:uiPriority w:val="99"/>
    <w:semiHidden/>
    <w:unhideWhenUsed/>
    <w:rsid w:val="00267FF7"/>
    <w:rPr>
      <w:b/>
      <w:bCs/>
    </w:rPr>
  </w:style>
  <w:style w:type="character" w:customStyle="1" w:styleId="AsuntodelcomentarioCar">
    <w:name w:val="Asunto del comentario Car"/>
    <w:basedOn w:val="TextocomentarioCar"/>
    <w:link w:val="Asuntodelcomentario"/>
    <w:uiPriority w:val="99"/>
    <w:semiHidden/>
    <w:rsid w:val="00267FF7"/>
    <w:rPr>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B541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4110"/>
    <w:rPr>
      <w:sz w:val="20"/>
      <w:szCs w:val="20"/>
    </w:rPr>
  </w:style>
  <w:style w:type="character" w:styleId="Refdenotaalpie">
    <w:name w:val="footnote reference"/>
    <w:basedOn w:val="Fuentedeprrafopredeter"/>
    <w:uiPriority w:val="99"/>
    <w:semiHidden/>
    <w:unhideWhenUsed/>
    <w:rsid w:val="00B541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B4200A"/>
    <w:pPr>
      <w:ind w:left="720"/>
      <w:contextualSpacing/>
    </w:pPr>
  </w:style>
  <w:style w:type="paragraph" w:styleId="Textodeglobo">
    <w:name w:val="Balloon Text"/>
    <w:basedOn w:val="Normal"/>
    <w:link w:val="TextodegloboCar"/>
    <w:uiPriority w:val="99"/>
    <w:semiHidden/>
    <w:unhideWhenUsed/>
    <w:rsid w:val="00B420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200A"/>
    <w:rPr>
      <w:rFonts w:ascii="Tahoma" w:hAnsi="Tahoma" w:cs="Tahoma"/>
      <w:sz w:val="16"/>
      <w:szCs w:val="16"/>
    </w:rPr>
  </w:style>
  <w:style w:type="character" w:styleId="Refdecomentario">
    <w:name w:val="annotation reference"/>
    <w:basedOn w:val="Fuentedeprrafopredeter"/>
    <w:uiPriority w:val="99"/>
    <w:semiHidden/>
    <w:unhideWhenUsed/>
    <w:rsid w:val="00267FF7"/>
    <w:rPr>
      <w:sz w:val="16"/>
      <w:szCs w:val="16"/>
    </w:rPr>
  </w:style>
  <w:style w:type="paragraph" w:styleId="Textocomentario">
    <w:name w:val="annotation text"/>
    <w:basedOn w:val="Normal"/>
    <w:link w:val="TextocomentarioCar"/>
    <w:uiPriority w:val="99"/>
    <w:semiHidden/>
    <w:unhideWhenUsed/>
    <w:rsid w:val="00267F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7FF7"/>
    <w:rPr>
      <w:sz w:val="20"/>
      <w:szCs w:val="20"/>
    </w:rPr>
  </w:style>
  <w:style w:type="paragraph" w:styleId="Asuntodelcomentario">
    <w:name w:val="annotation subject"/>
    <w:basedOn w:val="Textocomentario"/>
    <w:next w:val="Textocomentario"/>
    <w:link w:val="AsuntodelcomentarioCar"/>
    <w:uiPriority w:val="99"/>
    <w:semiHidden/>
    <w:unhideWhenUsed/>
    <w:rsid w:val="00267FF7"/>
    <w:rPr>
      <w:b/>
      <w:bCs/>
    </w:rPr>
  </w:style>
  <w:style w:type="character" w:customStyle="1" w:styleId="AsuntodelcomentarioCar">
    <w:name w:val="Asunto del comentario Car"/>
    <w:basedOn w:val="TextocomentarioCar"/>
    <w:link w:val="Asuntodelcomentario"/>
    <w:uiPriority w:val="99"/>
    <w:semiHidden/>
    <w:rsid w:val="00267FF7"/>
    <w:rPr>
      <w:b/>
      <w:bCs/>
      <w:sz w:val="20"/>
      <w:szCs w:val="20"/>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B5411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54110"/>
    <w:rPr>
      <w:sz w:val="20"/>
      <w:szCs w:val="20"/>
    </w:rPr>
  </w:style>
  <w:style w:type="character" w:styleId="Refdenotaalpie">
    <w:name w:val="footnote reference"/>
    <w:basedOn w:val="Fuentedeprrafopredeter"/>
    <w:uiPriority w:val="99"/>
    <w:semiHidden/>
    <w:unhideWhenUsed/>
    <w:rsid w:val="00B541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idXQnpf3xMJ5NfKkPuaIUF5abg==">AMUW2mX3XrkAcSLjnsast98IIIyWPMH8+b+irUhh0oUfjE2wT5UQvsN3NAq7TDNiOCVrsnvS7DeNntC9Nxb1RFDnenx8Do62xStA/O1p1+ZCYjicYx+iBJM=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EF01153-EF43-4F58-8E49-234DBF9CB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356</Words>
  <Characters>1961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Pizarro</dc:creator>
  <cp:lastModifiedBy>Jimena Mendoza</cp:lastModifiedBy>
  <cp:revision>8</cp:revision>
  <dcterms:created xsi:type="dcterms:W3CDTF">2024-09-10T15:55:00Z</dcterms:created>
  <dcterms:modified xsi:type="dcterms:W3CDTF">2024-09-24T21:27:00Z</dcterms:modified>
</cp:coreProperties>
</file>